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r>
        <w:rPr>
          <w:b/>
          <w:color w:val="123B6D"/>
          <w:sz w:val="16"/>
        </w:rPr>
        <w:t>COR PATHWAY 360</w:t>
      </w:r>
    </w:p>
    <w:p>
      <w:pPr>
        <w:spacing w:after="40"/>
      </w:pPr>
      <w:r>
        <w:rPr>
          <w:b/>
          <w:color w:val="0D2B50"/>
          <w:sz w:val="36"/>
        </w:rPr>
        <w:t>Daily Trip Inspection, Ontario</w:t>
      </w:r>
    </w:p>
    <w:p>
      <w:pPr>
        <w:spacing w:after="160"/>
      </w:pPr>
      <w:r>
        <w:rPr>
          <w:color w:val="475569"/>
          <w:sz w:val="20"/>
        </w:rPr>
        <w:t>Schedule 1 to O. Reg. 199/07, for trucks, tractors and trailers drawn by a truck or tractor</w:t>
      </w:r>
    </w:p>
    <w:p>
      <w:pPr>
        <w:spacing w:after="80"/>
      </w:pPr>
      <w:r>
        <w:rPr>
          <w:sz w:val="18"/>
        </w:rPr>
        <w:t>Complete this inspection before the vehicle is first driven each day. Section 6 (3) of O. Reg. 199/07 makes a daily inspection valid for 24 hours. Section 6 (1) requires you to inspect every system listed in Column 1 of the schedule, not a selection of them.</w:t>
      </w:r>
    </w:p>
    <w:p>
      <w:pPr>
        <w:spacing w:after="80"/>
      </w:pPr>
      <w:r>
        <w:rPr>
          <w:sz w:val="18"/>
        </w:rPr>
        <w:t>The systems and the defect classifications on this form come from Schedule 1 to Ontario Regulation 199/07, Commercial Motor Vehicle Inspections, made under the Highway Traffic Act. A vehicle with a major defect must not be operated until the defect is repaired. A minor defect is recorded on this report and the vehicle may continue in service.</w:t>
      </w:r>
    </w:p>
    <w:p>
      <w:pPr>
        <w:spacing w:after="200"/>
        <w:ind w:left="173"/>
      </w:pPr>
      <w:r>
        <w:rPr>
          <w:b/>
          <w:color w:val="9A3412"/>
          <w:sz w:val="18"/>
        </w:rPr>
        <w:t xml:space="preserve">Check this yourself. </w:t>
      </w:r>
      <w:r>
        <w:rPr>
          <w:color w:val="475569"/>
          <w:sz w:val="18"/>
        </w:rPr>
        <w:t>This form is for Ontario. Ontario classifies some defects differently from the national schedule, and a leaking wheel seal is the clearest example: it is a minor defect here and a major defect under the national wording that other provinces publish. Do not carry this form in a truck running under another province's regulation without checking that province's schedule against it. Buses use Schedule 2, motor coaches Schedule 3, school purposes buses Schedule 5. Several entries in the regulation carry footnotes pointing to the prescribed limits in section 19. Read those limits and confirm the current version of the regulation before relying on this.</w:t>
      </w:r>
    </w:p>
    <w:p>
      <w:pPr>
        <w:keepNext/>
        <w:spacing w:before="240" w:after="80"/>
        <w:pBdr>
          <w:bottom w:val="single" w:sz="6" w:color="D7E0E4" w:space="2"/>
        </w:pBdr>
      </w:pPr>
      <w:r>
        <w:rPr>
          <w:b/>
          <w:color w:val="0D2B50"/>
          <w:sz w:val="23"/>
        </w:rPr>
        <w:t>Report details, section 7 (1)</w:t>
      </w:r>
    </w:p>
    <w:tbl>
      <w:tblPr>
        <w:tblStyle w:val="TableGrid"/>
        <w:tblW w:type="auto" w:w="0"/>
        <w:tblLook w:firstColumn="1" w:firstRow="1" w:lastColumn="0" w:lastRow="0" w:noHBand="0" w:noVBand="1" w:val="04A0"/>
      </w:tblPr>
      <w:tblGrid>
        <w:gridCol w:w="5328"/>
        <w:gridCol w:w="5328"/>
      </w:tblGrid>
      <w:tr>
        <w:trPr>
          <w:trHeight w:val="400" w:hRule="atLeast"/>
        </w:trPr>
        <w:tc>
          <w:tcPr>
            <w:tcW w:type="dxa" w:w="3744"/>
            <w:shd w:val="clear" w:color="auto" w:fill="F4F7FA"/>
          </w:tcPr>
          <w:p>
            <w:r>
              <w:rPr>
                <w:color w:val="475569"/>
                <w:sz w:val="17"/>
              </w:rPr>
              <w:t>Licence plate number</w:t>
            </w:r>
          </w:p>
        </w:tc>
        <w:tc>
          <w:tcPr>
            <w:tcW w:type="dxa" w:w="6336"/>
          </w:tcPr>
          <w:p/>
        </w:tc>
      </w:tr>
      <w:tr>
        <w:trPr>
          <w:trHeight w:val="400" w:hRule="atLeast"/>
        </w:trPr>
        <w:tc>
          <w:tcPr>
            <w:tcW w:type="dxa" w:w="3744"/>
            <w:shd w:val="clear" w:color="auto" w:fill="F4F7FA"/>
          </w:tcPr>
          <w:p>
            <w:r>
              <w:rPr>
                <w:color w:val="475569"/>
                <w:sz w:val="17"/>
              </w:rPr>
              <w:t>Plate jurisdiction</w:t>
            </w:r>
          </w:p>
        </w:tc>
        <w:tc>
          <w:tcPr>
            <w:tcW w:type="dxa" w:w="6336"/>
          </w:tcPr>
          <w:p/>
        </w:tc>
      </w:tr>
      <w:tr>
        <w:trPr>
          <w:trHeight w:val="400" w:hRule="atLeast"/>
        </w:trPr>
        <w:tc>
          <w:tcPr>
            <w:tcW w:type="dxa" w:w="3744"/>
            <w:shd w:val="clear" w:color="auto" w:fill="F4F7FA"/>
          </w:tcPr>
          <w:p>
            <w:r>
              <w:rPr>
                <w:color w:val="475569"/>
                <w:sz w:val="17"/>
              </w:rPr>
              <w:t>Operator name</w:t>
            </w:r>
          </w:p>
        </w:tc>
        <w:tc>
          <w:tcPr>
            <w:tcW w:type="dxa" w:w="6336"/>
          </w:tcPr>
          <w:p/>
        </w:tc>
      </w:tr>
      <w:tr>
        <w:trPr>
          <w:trHeight w:val="400" w:hRule="atLeast"/>
        </w:trPr>
        <w:tc>
          <w:tcPr>
            <w:tcW w:type="dxa" w:w="3744"/>
            <w:shd w:val="clear" w:color="auto" w:fill="F4F7FA"/>
          </w:tcPr>
          <w:p>
            <w:r>
              <w:rPr>
                <w:color w:val="475569"/>
                <w:sz w:val="17"/>
              </w:rPr>
              <w:t>Unit or trailer number</w:t>
            </w:r>
          </w:p>
        </w:tc>
        <w:tc>
          <w:tcPr>
            <w:tcW w:type="dxa" w:w="6336"/>
          </w:tcPr>
          <w:p/>
        </w:tc>
      </w:tr>
      <w:tr>
        <w:trPr>
          <w:trHeight w:val="400" w:hRule="atLeast"/>
        </w:trPr>
        <w:tc>
          <w:tcPr>
            <w:tcW w:type="dxa" w:w="3744"/>
            <w:shd w:val="clear" w:color="auto" w:fill="F4F7FA"/>
          </w:tcPr>
          <w:p>
            <w:r>
              <w:rPr>
                <w:color w:val="475569"/>
                <w:sz w:val="17"/>
              </w:rPr>
              <w:t>Odometer reading</w:t>
            </w:r>
          </w:p>
        </w:tc>
        <w:tc>
          <w:tcPr>
            <w:tcW w:type="dxa" w:w="6336"/>
          </w:tcPr>
          <w:p/>
        </w:tc>
      </w:tr>
      <w:tr>
        <w:trPr>
          <w:trHeight w:val="400" w:hRule="atLeast"/>
        </w:trPr>
        <w:tc>
          <w:tcPr>
            <w:tcW w:type="dxa" w:w="3744"/>
            <w:shd w:val="clear" w:color="auto" w:fill="F4F7FA"/>
          </w:tcPr>
          <w:p>
            <w:r>
              <w:rPr>
                <w:color w:val="475569"/>
                <w:sz w:val="17"/>
              </w:rPr>
              <w:t>Location (city, town, village or highway)</w:t>
            </w:r>
          </w:p>
        </w:tc>
        <w:tc>
          <w:tcPr>
            <w:tcW w:type="dxa" w:w="6336"/>
          </w:tcPr>
          <w:p/>
        </w:tc>
      </w:tr>
      <w:tr>
        <w:trPr>
          <w:trHeight w:val="400" w:hRule="atLeast"/>
        </w:trPr>
        <w:tc>
          <w:tcPr>
            <w:tcW w:type="dxa" w:w="3744"/>
            <w:shd w:val="clear" w:color="auto" w:fill="F4F7FA"/>
          </w:tcPr>
          <w:p>
            <w:r>
              <w:rPr>
                <w:color w:val="475569"/>
                <w:sz w:val="17"/>
              </w:rPr>
              <w:t>Date</w:t>
            </w:r>
          </w:p>
        </w:tc>
        <w:tc>
          <w:tcPr>
            <w:tcW w:type="dxa" w:w="6336"/>
          </w:tcPr>
          <w:p/>
        </w:tc>
      </w:tr>
      <w:tr>
        <w:trPr>
          <w:trHeight w:val="400" w:hRule="atLeast"/>
        </w:trPr>
        <w:tc>
          <w:tcPr>
            <w:tcW w:type="dxa" w:w="3744"/>
            <w:shd w:val="clear" w:color="auto" w:fill="F4F7FA"/>
          </w:tcPr>
          <w:p>
            <w:r>
              <w:rPr>
                <w:color w:val="475569"/>
                <w:sz w:val="17"/>
              </w:rPr>
              <w:t>Time of inspection</w:t>
            </w:r>
          </w:p>
        </w:tc>
        <w:tc>
          <w:tcPr>
            <w:tcW w:type="dxa" w:w="6336"/>
          </w:tcPr>
          <w:p/>
        </w:tc>
      </w:tr>
      <w:tr>
        <w:trPr>
          <w:trHeight w:val="400" w:hRule="atLeast"/>
        </w:trPr>
        <w:tc>
          <w:tcPr>
            <w:tcW w:type="dxa" w:w="3744"/>
            <w:shd w:val="clear" w:color="auto" w:fill="F4F7FA"/>
          </w:tcPr>
          <w:p>
            <w:r>
              <w:rPr>
                <w:color w:val="475569"/>
                <w:sz w:val="17"/>
              </w:rPr>
              <w:t>Printed name of person who conducted the inspection</w:t>
            </w:r>
          </w:p>
        </w:tc>
        <w:tc>
          <w:tcPr>
            <w:tcW w:type="dxa" w:w="6336"/>
          </w:tcPr>
          <w:p/>
        </w:tc>
      </w:tr>
    </w:tbl>
    <w:p>
      <w:pPr>
        <w:keepNext/>
        <w:spacing w:before="240" w:after="80"/>
        <w:pBdr>
          <w:bottom w:val="single" w:sz="6" w:color="D7E0E4" w:space="2"/>
        </w:pBdr>
      </w:pPr>
      <w:r>
        <w:rPr>
          <w:b/>
          <w:color w:val="0D2B50"/>
          <w:sz w:val="23"/>
        </w:rPr>
        <w:t>How to use this form</w:t>
      </w:r>
    </w:p>
    <w:p>
      <w:pPr>
        <w:pStyle w:val="ListBullet"/>
        <w:spacing w:after="40"/>
      </w:pPr>
      <w:r>
        <w:rPr>
          <w:sz w:val="18"/>
        </w:rPr>
        <w:t>Inspect all 23 systems below. Mark OK where there is no defect, or mark minor or major and describe what you found.</w:t>
      </w:r>
    </w:p>
    <w:p>
      <w:pPr>
        <w:pStyle w:val="ListBullet"/>
        <w:spacing w:after="40"/>
      </w:pPr>
      <w:r>
        <w:rPr>
          <w:sz w:val="18"/>
        </w:rPr>
        <w:t>Use the defect reference at the end to decide whether what you found is minor or major. Ontario's classification governs, not the national one.</w:t>
      </w:r>
    </w:p>
    <w:p>
      <w:pPr>
        <w:pStyle w:val="ListBullet"/>
        <w:spacing w:after="40"/>
      </w:pPr>
      <w:r>
        <w:rPr>
          <w:sz w:val="18"/>
        </w:rPr>
        <w:t>Do not operate the vehicle with a major defect. Report it and have it repaired first.</w:t>
      </w:r>
    </w:p>
    <w:p>
      <w:pPr>
        <w:pStyle w:val="ListBullet"/>
        <w:spacing w:after="40"/>
      </w:pPr>
      <w:r>
        <w:rPr>
          <w:sz w:val="18"/>
        </w:rPr>
        <w:t>You may keep driving with a minor defect once it is entered on this report. Entering it is the condition, not a formality.</w:t>
      </w:r>
    </w:p>
    <w:p>
      <w:pPr>
        <w:pStyle w:val="ListBullet"/>
        <w:spacing w:after="40"/>
      </w:pPr>
      <w:r>
        <w:rPr>
          <w:sz w:val="18"/>
        </w:rPr>
        <w:t>If you find a defect while driving, section 8 (2) requires you to notify the operator by a means likely to reach them quickly, as well as writing it on this report.</w:t>
      </w:r>
    </w:p>
    <w:p>
      <w:pPr>
        <w:pStyle w:val="ListBullet"/>
        <w:spacing w:after="40"/>
      </w:pPr>
      <w:r>
        <w:rPr>
          <w:sz w:val="18"/>
        </w:rPr>
        <w:t>Carry the completed report and the inspection schedule in the vehicle. Electronic copies are permitted.</w:t>
      </w:r>
    </w:p>
    <w:p>
      <w:pPr>
        <w:keepNext/>
        <w:spacing w:before="240" w:after="80"/>
        <w:pBdr>
          <w:bottom w:val="single" w:sz="6" w:color="D7E0E4" w:space="2"/>
        </w:pBdr>
      </w:pPr>
      <w:r>
        <w:rPr>
          <w:b/>
          <w:color w:val="0D2B50"/>
          <w:sz w:val="23"/>
        </w:rPr>
        <w:t>Inspection, mark each system</w:t>
      </w:r>
    </w:p>
    <w:tbl>
      <w:tblPr>
        <w:tblStyle w:val="TableGrid"/>
        <w:tblW w:type="auto" w:w="0"/>
        <w:jc w:val="center"/>
        <w:tblLook w:firstColumn="1" w:firstRow="1" w:lastColumn="0" w:lastRow="0" w:noHBand="0" w:noVBand="1" w:val="04A0"/>
      </w:tblPr>
      <w:tblGrid>
        <w:gridCol w:w="2131"/>
        <w:gridCol w:w="2131"/>
        <w:gridCol w:w="2131"/>
        <w:gridCol w:w="2131"/>
        <w:gridCol w:w="2131"/>
      </w:tblGrid>
      <w:tr>
        <w:trPr>
          <w:tblHeader w:val="true"/>
        </w:trPr>
        <w:tc>
          <w:tcPr>
            <w:tcW w:type="dxa" w:w="2131"/>
            <w:shd w:val="clear" w:color="auto" w:fill="E8EEF4"/>
          </w:tcPr>
          <w:p>
            <w:r/>
            <w:r>
              <w:rPr>
                <w:b/>
                <w:color w:val="0D2B50"/>
                <w:sz w:val="17"/>
              </w:rPr>
              <w:t>System</w:t>
            </w:r>
          </w:p>
        </w:tc>
        <w:tc>
          <w:tcPr>
            <w:tcW w:type="dxa" w:w="2131"/>
            <w:shd w:val="clear" w:color="auto" w:fill="E8EEF4"/>
          </w:tcPr>
          <w:p>
            <w:r/>
            <w:r>
              <w:rPr>
                <w:b/>
                <w:color w:val="0D2B50"/>
                <w:sz w:val="17"/>
              </w:rPr>
              <w:t>OK</w:t>
            </w:r>
          </w:p>
        </w:tc>
        <w:tc>
          <w:tcPr>
            <w:tcW w:type="dxa" w:w="2131"/>
            <w:shd w:val="clear" w:color="auto" w:fill="E8EEF4"/>
          </w:tcPr>
          <w:p>
            <w:r/>
            <w:r>
              <w:rPr>
                <w:b/>
                <w:color w:val="0D2B50"/>
                <w:sz w:val="17"/>
              </w:rPr>
              <w:t>Minor</w:t>
            </w:r>
          </w:p>
        </w:tc>
        <w:tc>
          <w:tcPr>
            <w:tcW w:type="dxa" w:w="2131"/>
            <w:shd w:val="clear" w:color="auto" w:fill="E8EEF4"/>
          </w:tcPr>
          <w:p>
            <w:r/>
            <w:r>
              <w:rPr>
                <w:b/>
                <w:color w:val="0D2B50"/>
                <w:sz w:val="17"/>
              </w:rPr>
              <w:t>Major</w:t>
            </w:r>
          </w:p>
        </w:tc>
        <w:tc>
          <w:tcPr>
            <w:tcW w:type="dxa" w:w="2131"/>
            <w:shd w:val="clear" w:color="auto" w:fill="E8EEF4"/>
          </w:tcPr>
          <w:p>
            <w:r/>
            <w:r>
              <w:rPr>
                <w:b/>
                <w:color w:val="0D2B50"/>
                <w:sz w:val="17"/>
              </w:rPr>
              <w:t>Defect details</w:t>
            </w:r>
          </w:p>
        </w:tc>
      </w:tr>
      <w:tr>
        <w:trPr>
          <w:trHeight w:val="560" w:hRule="atLeast"/>
        </w:trPr>
        <w:tc>
          <w:tcPr>
            <w:tcW w:type="dxa" w:w="2131"/>
            <w:shd w:val="clear" w:color="auto" w:fill="F4F7FA"/>
          </w:tcPr>
          <w:p>
            <w:r>
              <w:rPr>
                <w:b/>
                <w:sz w:val="17"/>
              </w:rPr>
              <w:t>1. Air brake system</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2. Cab</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3. Cargo securement</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4. Coupling devices</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5. Dangerous goods</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6. Driver controls</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7. Driver seat</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8. Electric brake system</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9. Emergency equipment and safety devices</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10. Exhaust system</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11. Frame and cargo body</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12. Fuel system</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13. General</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14. Glass and mirrors</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15. Heater and defroster</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16. Horn</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17. Hydraulic brake system</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18. Lamps and reflectors</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19. Steering</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20. Suspension system</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21. Tires</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22. Wheels, hubs and fasteners</w:t>
            </w:r>
          </w:p>
        </w:tc>
        <w:tc>
          <w:tcPr>
            <w:tcW w:type="dxa" w:w="2131"/>
          </w:tcPr>
          <w:p/>
        </w:tc>
        <w:tc>
          <w:tcPr>
            <w:tcW w:type="dxa" w:w="2131"/>
          </w:tcPr>
          <w:p/>
        </w:tc>
        <w:tc>
          <w:tcPr>
            <w:tcW w:type="dxa" w:w="2131"/>
          </w:tcPr>
          <w:p/>
        </w:tc>
        <w:tc>
          <w:tcPr>
            <w:tcW w:type="dxa" w:w="2131"/>
          </w:tcPr>
          <w:p/>
        </w:tc>
      </w:tr>
      <w:tr>
        <w:trPr>
          <w:trHeight w:val="560" w:hRule="atLeast"/>
        </w:trPr>
        <w:tc>
          <w:tcPr>
            <w:tcW w:type="dxa" w:w="2131"/>
            <w:shd w:val="clear" w:color="auto" w:fill="F4F7FA"/>
          </w:tcPr>
          <w:p>
            <w:r>
              <w:rPr>
                <w:b/>
                <w:sz w:val="17"/>
              </w:rPr>
              <w:t>23. Windshield wiper and washer</w:t>
            </w:r>
          </w:p>
        </w:tc>
        <w:tc>
          <w:tcPr>
            <w:tcW w:type="dxa" w:w="2131"/>
          </w:tcPr>
          <w:p/>
        </w:tc>
        <w:tc>
          <w:tcPr>
            <w:tcW w:type="dxa" w:w="2131"/>
          </w:tcPr>
          <w:p/>
        </w:tc>
        <w:tc>
          <w:tcPr>
            <w:tcW w:type="dxa" w:w="2131"/>
          </w:tcPr>
          <w:p/>
        </w:tc>
        <w:tc>
          <w:tcPr>
            <w:tcW w:type="dxa" w:w="2131"/>
          </w:tcPr>
          <w:p/>
        </w:tc>
      </w:tr>
    </w:tbl>
    <w:p>
      <w:pPr>
        <w:keepNext/>
        <w:spacing w:before="240" w:after="80"/>
        <w:pBdr>
          <w:bottom w:val="single" w:sz="6" w:color="D7E0E4" w:space="2"/>
        </w:pBdr>
      </w:pPr>
      <w:r>
        <w:rPr>
          <w:b/>
          <w:color w:val="0D2B50"/>
          <w:sz w:val="23"/>
        </w:rPr>
        <w:t>No defects found</w:t>
      </w:r>
    </w:p>
    <w:tbl>
      <w:tblPr>
        <w:tblStyle w:val="TableGrid"/>
        <w:tblW w:type="auto" w:w="0"/>
        <w:jc w:val="center"/>
        <w:tblLook w:firstColumn="1" w:firstRow="1" w:lastColumn="0" w:lastRow="0" w:noHBand="0" w:noVBand="1" w:val="04A0"/>
      </w:tblPr>
      <w:tblGrid>
        <w:gridCol w:w="5328"/>
        <w:gridCol w:w="5328"/>
      </w:tblGrid>
      <w:tr>
        <w:trPr>
          <w:tblHeader w:val="true"/>
        </w:trPr>
        <w:tc>
          <w:tcPr>
            <w:tcW w:type="dxa" w:w="720"/>
            <w:shd w:val="clear" w:color="auto" w:fill="E8EEF4"/>
          </w:tcPr>
          <w:p>
            <w:r/>
            <w:r>
              <w:rPr>
                <w:b/>
                <w:color w:val="0D2B50"/>
                <w:sz w:val="17"/>
              </w:rPr>
              <w:t>Done</w:t>
            </w:r>
          </w:p>
        </w:tc>
        <w:tc>
          <w:tcPr>
            <w:tcW w:type="dxa" w:w="9360"/>
            <w:shd w:val="clear" w:color="auto" w:fill="E8EEF4"/>
          </w:tcPr>
          <w:p>
            <w:r/>
            <w:r>
              <w:rPr>
                <w:b/>
                <w:color w:val="0D2B50"/>
                <w:sz w:val="17"/>
              </w:rPr>
              <w:t>Check</w:t>
            </w:r>
          </w:p>
        </w:tc>
      </w:tr>
      <w:tr>
        <w:trPr>
          <w:trHeight w:val="320" w:hRule="atLeast"/>
        </w:trPr>
        <w:tc>
          <w:tcPr>
            <w:tcW w:type="dxa" w:w="5328"/>
          </w:tcPr>
          <w:p>
            <w:pPr>
              <w:jc w:val="center"/>
            </w:pPr>
            <w:r>
              <w:rPr>
                <w:sz w:val="26"/>
              </w:rPr>
              <w:t>☐</w:t>
            </w:r>
          </w:p>
        </w:tc>
        <w:tc>
          <w:tcPr>
            <w:tcW w:type="dxa" w:w="5328"/>
          </w:tcPr>
          <w:p>
            <w:r>
              <w:rPr>
                <w:sz w:val="18"/>
              </w:rPr>
              <w:t>No major or minor defects were found during this inspection. Tick this box only where nothing at all was found, because section 7 (1) requires a positive statement either way.</w:t>
            </w:r>
          </w:p>
        </w:tc>
      </w:tr>
    </w:tbl>
    <w:p>
      <w:pPr>
        <w:keepNext/>
        <w:spacing w:before="240" w:after="80"/>
        <w:pBdr>
          <w:bottom w:val="single" w:sz="6" w:color="D7E0E4" w:space="2"/>
        </w:pBdr>
      </w:pPr>
      <w:r>
        <w:rPr>
          <w:b/>
          <w:color w:val="0D2B50"/>
          <w:sz w:val="23"/>
        </w:rPr>
        <w:t>Defects found and action taken</w:t>
      </w:r>
    </w:p>
    <w:tbl>
      <w:tblPr>
        <w:tblStyle w:val="TableGrid"/>
        <w:tblW w:type="auto" w:w="0"/>
        <w:jc w:val="center"/>
        <w:tblLook w:firstColumn="1" w:firstRow="1" w:lastColumn="0" w:lastRow="0" w:noHBand="0" w:noVBand="1" w:val="04A0"/>
      </w:tblPr>
      <w:tblGrid>
        <w:gridCol w:w="2131"/>
        <w:gridCol w:w="2131"/>
        <w:gridCol w:w="2131"/>
        <w:gridCol w:w="2131"/>
        <w:gridCol w:w="2131"/>
      </w:tblGrid>
      <w:tr>
        <w:trPr>
          <w:tblHeader w:val="true"/>
        </w:trPr>
        <w:tc>
          <w:tcPr>
            <w:tcW w:type="dxa" w:w="2131"/>
            <w:shd w:val="clear" w:color="auto" w:fill="E8EEF4"/>
          </w:tcPr>
          <w:p>
            <w:r/>
            <w:r>
              <w:rPr>
                <w:b/>
                <w:color w:val="0D2B50"/>
                <w:sz w:val="17"/>
              </w:rPr>
              <w:t>System number</w:t>
            </w:r>
          </w:p>
        </w:tc>
        <w:tc>
          <w:tcPr>
            <w:tcW w:type="dxa" w:w="2131"/>
            <w:shd w:val="clear" w:color="auto" w:fill="E8EEF4"/>
          </w:tcPr>
          <w:p>
            <w:r/>
            <w:r>
              <w:rPr>
                <w:b/>
                <w:color w:val="0D2B50"/>
                <w:sz w:val="17"/>
              </w:rPr>
              <w:t>Defect found</w:t>
            </w:r>
          </w:p>
        </w:tc>
        <w:tc>
          <w:tcPr>
            <w:tcW w:type="dxa" w:w="2131"/>
            <w:shd w:val="clear" w:color="auto" w:fill="E8EEF4"/>
          </w:tcPr>
          <w:p>
            <w:r/>
            <w:r>
              <w:rPr>
                <w:b/>
                <w:color w:val="0D2B50"/>
                <w:sz w:val="17"/>
              </w:rPr>
              <w:t>Minor or major</w:t>
            </w:r>
          </w:p>
        </w:tc>
        <w:tc>
          <w:tcPr>
            <w:tcW w:type="dxa" w:w="2131"/>
            <w:shd w:val="clear" w:color="auto" w:fill="E8EEF4"/>
          </w:tcPr>
          <w:p>
            <w:r/>
            <w:r>
              <w:rPr>
                <w:b/>
                <w:color w:val="0D2B50"/>
                <w:sz w:val="17"/>
              </w:rPr>
              <w:t>Operator notified, who and when</w:t>
            </w:r>
          </w:p>
        </w:tc>
        <w:tc>
          <w:tcPr>
            <w:tcW w:type="dxa" w:w="2131"/>
            <w:shd w:val="clear" w:color="auto" w:fill="E8EEF4"/>
          </w:tcPr>
          <w:p>
            <w:r/>
            <w:r>
              <w:rPr>
                <w:b/>
                <w:color w:val="0D2B50"/>
                <w:sz w:val="17"/>
              </w:rPr>
              <w:t>Repaired, Y or N</w:t>
            </w:r>
          </w:p>
        </w:tc>
      </w:tr>
      <w:tr>
        <w:trPr>
          <w:trHeight w:val="360" w:hRule="atLeast"/>
        </w:trPr>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r>
      <w:tr>
        <w:trPr>
          <w:trHeight w:val="360" w:hRule="atLeast"/>
        </w:trPr>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r>
      <w:tr>
        <w:trPr>
          <w:trHeight w:val="360" w:hRule="atLeast"/>
        </w:trPr>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r>
      <w:tr>
        <w:trPr>
          <w:trHeight w:val="360" w:hRule="atLeast"/>
        </w:trPr>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r>
      <w:tr>
        <w:trPr>
          <w:trHeight w:val="360" w:hRule="atLeast"/>
        </w:trPr>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r>
      <w:tr>
        <w:trPr>
          <w:trHeight w:val="360" w:hRule="atLeast"/>
        </w:trPr>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c>
          <w:tcPr>
            <w:tcW w:type="dxa" w:w="2131"/>
          </w:tcPr>
          <w:p>
            <w:r>
              <w:rPr>
                <w:sz w:val="18"/>
              </w:rPr>
            </w:r>
          </w:p>
        </w:tc>
      </w:tr>
    </w:tbl>
    <w:p>
      <w:pPr>
        <w:keepNext/>
        <w:spacing w:before="240" w:after="80"/>
        <w:pBdr>
          <w:bottom w:val="single" w:sz="6" w:color="D7E0E4" w:space="2"/>
        </w:pBdr>
      </w:pPr>
      <w:r>
        <w:rPr>
          <w:b/>
          <w:color w:val="0D2B50"/>
          <w:sz w:val="23"/>
        </w:rPr>
        <w:t>Certification, section 7 (1) paragraph 8</w:t>
      </w:r>
    </w:p>
    <w:p>
      <w:pPr>
        <w:spacing w:after="100"/>
      </w:pPr>
      <w:r>
        <w:rPr>
          <w:sz w:val="18"/>
        </w:rPr>
        <w:t>I inspected this vehicle in accordance with Ontario Regulation 199/07. I have recorded every major and minor defect I found, or stated above that none were found. I understand the vehicle must not be operated with a major defect.</w:t>
      </w:r>
    </w:p>
    <w:p>
      <w:pPr>
        <w:spacing w:after="100"/>
      </w:pPr>
      <w:r>
        <w:rPr>
          <w:sz w:val="18"/>
        </w:rPr>
        <w:t>This inspection is valid for 24 hours from the time recorded above. I will monitor the vehicle during the trip and record any defect that develops, and notify the operator of it promptly.</w:t>
      </w:r>
    </w:p>
    <w:p>
      <w:pPr>
        <w:keepNext/>
        <w:spacing w:before="240" w:after="80"/>
        <w:pBdr>
          <w:bottom w:val="single" w:sz="6" w:color="D7E0E4" w:space="2"/>
        </w:pBdr>
      </w:pPr>
      <w:r>
        <w:rPr>
          <w:b/>
          <w:color w:val="0D2B50"/>
          <w:sz w:val="23"/>
        </w:rPr>
        <w:t>Sign off</w:t>
      </w:r>
    </w:p>
    <w:p>
      <w:r>
        <w:rPr>
          <w:color w:val="475569"/>
          <w:sz w:val="17"/>
        </w:rPr>
        <w:t>The person who conducted the inspection signs first. Under section 7 (2), where the driver is not that person, the driver must also sign before driving the vehicle or drawing the trailer.</w:t>
      </w:r>
    </w:p>
    <w:tbl>
      <w:tblPr>
        <w:tblStyle w:val="TableGrid"/>
        <w:tblW w:type="auto" w:w="0"/>
        <w:jc w:val="center"/>
        <w:tblLook w:firstColumn="1" w:firstRow="1" w:lastColumn="0" w:lastRow="0" w:noHBand="0" w:noVBand="1" w:val="04A0"/>
      </w:tblPr>
      <w:tblGrid>
        <w:gridCol w:w="3552"/>
        <w:gridCol w:w="3552"/>
        <w:gridCol w:w="3552"/>
      </w:tblGrid>
      <w:tr>
        <w:trPr>
          <w:tblHeader w:val="true"/>
        </w:trPr>
        <w:tc>
          <w:tcPr>
            <w:tcW w:type="dxa" w:w="3552"/>
            <w:shd w:val="clear" w:color="auto" w:fill="E8EEF4"/>
          </w:tcPr>
          <w:p>
            <w:r/>
            <w:r>
              <w:rPr>
                <w:b/>
                <w:color w:val="0D2B50"/>
                <w:sz w:val="17"/>
              </w:rPr>
              <w:t>Printed name</w:t>
            </w:r>
          </w:p>
        </w:tc>
        <w:tc>
          <w:tcPr>
            <w:tcW w:type="dxa" w:w="3552"/>
            <w:shd w:val="clear" w:color="auto" w:fill="E8EEF4"/>
          </w:tcPr>
          <w:p>
            <w:r/>
            <w:r>
              <w:rPr>
                <w:b/>
                <w:color w:val="0D2B50"/>
                <w:sz w:val="17"/>
              </w:rPr>
              <w:t>Signature</w:t>
            </w:r>
          </w:p>
        </w:tc>
        <w:tc>
          <w:tcPr>
            <w:tcW w:type="dxa" w:w="3552"/>
            <w:shd w:val="clear" w:color="auto" w:fill="E8EEF4"/>
          </w:tcPr>
          <w:p>
            <w:r/>
            <w:r>
              <w:rPr>
                <w:b/>
                <w:color w:val="0D2B50"/>
                <w:sz w:val="17"/>
              </w:rPr>
              <w:t>Date and time</w:t>
            </w:r>
          </w:p>
        </w:tc>
      </w:tr>
      <w:tr>
        <w:trPr>
          <w:trHeight w:val="440" w:hRule="atLeast"/>
        </w:trPr>
        <w:tc>
          <w:tcPr>
            <w:tcW w:type="dxa" w:w="3552"/>
          </w:tcPr>
          <w:p>
            <w:r>
              <w:rPr>
                <w:sz w:val="18"/>
              </w:rPr>
            </w:r>
          </w:p>
        </w:tc>
        <w:tc>
          <w:tcPr>
            <w:tcW w:type="dxa" w:w="3552"/>
          </w:tcPr>
          <w:p>
            <w:r>
              <w:rPr>
                <w:sz w:val="18"/>
              </w:rPr>
            </w:r>
          </w:p>
        </w:tc>
        <w:tc>
          <w:tcPr>
            <w:tcW w:type="dxa" w:w="3552"/>
          </w:tcPr>
          <w:p>
            <w:r>
              <w:rPr>
                <w:sz w:val="18"/>
              </w:rPr>
            </w:r>
          </w:p>
        </w:tc>
      </w:tr>
      <w:tr>
        <w:trPr>
          <w:trHeight w:val="440" w:hRule="atLeast"/>
        </w:trPr>
        <w:tc>
          <w:tcPr>
            <w:tcW w:type="dxa" w:w="3552"/>
          </w:tcPr>
          <w:p>
            <w:r>
              <w:rPr>
                <w:sz w:val="18"/>
              </w:rPr>
            </w:r>
          </w:p>
        </w:tc>
        <w:tc>
          <w:tcPr>
            <w:tcW w:type="dxa" w:w="3552"/>
          </w:tcPr>
          <w:p>
            <w:r>
              <w:rPr>
                <w:sz w:val="18"/>
              </w:rPr>
            </w:r>
          </w:p>
        </w:tc>
        <w:tc>
          <w:tcPr>
            <w:tcW w:type="dxa" w:w="3552"/>
          </w:tcPr>
          <w:p>
            <w:r>
              <w:rPr>
                <w:sz w:val="18"/>
              </w:rPr>
            </w:r>
          </w:p>
        </w:tc>
      </w:tr>
      <w:tr>
        <w:trPr>
          <w:trHeight w:val="440" w:hRule="atLeast"/>
        </w:trPr>
        <w:tc>
          <w:tcPr>
            <w:tcW w:type="dxa" w:w="3552"/>
          </w:tcPr>
          <w:p>
            <w:r>
              <w:rPr>
                <w:sz w:val="18"/>
              </w:rPr>
            </w:r>
          </w:p>
        </w:tc>
        <w:tc>
          <w:tcPr>
            <w:tcW w:type="dxa" w:w="3552"/>
          </w:tcPr>
          <w:p>
            <w:r>
              <w:rPr>
                <w:sz w:val="18"/>
              </w:rPr>
            </w:r>
          </w:p>
        </w:tc>
        <w:tc>
          <w:tcPr>
            <w:tcW w:type="dxa" w:w="3552"/>
          </w:tcPr>
          <w:p>
            <w:r>
              <w:rPr>
                <w:sz w:val="18"/>
              </w:rPr>
            </w:r>
          </w:p>
        </w:tc>
      </w:tr>
    </w:tbl>
    <w:p>
      <w:pPr>
        <w:keepNext/>
        <w:spacing w:before="240" w:after="80"/>
        <w:pBdr>
          <w:bottom w:val="single" w:sz="6" w:color="D7E0E4" w:space="2"/>
        </w:pBdr>
      </w:pPr>
      <w:r>
        <w:rPr>
          <w:b/>
          <w:color w:val="0D2B50"/>
          <w:sz w:val="23"/>
        </w:rPr>
        <w:t>Submission and retention</w:t>
      </w:r>
    </w:p>
    <w:p>
      <w:pPr>
        <w:pStyle w:val="ListBullet"/>
        <w:spacing w:after="40"/>
      </w:pPr>
      <w:r>
        <w:rPr>
          <w:sz w:val="18"/>
        </w:rPr>
        <w:t>Section 9 (1): the driver submits this completed report to the operator as soon as possible after it ceases to be valid, and no later than 20 days after that point.</w:t>
      </w:r>
    </w:p>
    <w:p>
      <w:pPr>
        <w:pStyle w:val="ListBullet"/>
        <w:spacing w:after="40"/>
      </w:pPr>
      <w:r>
        <w:rPr>
          <w:sz w:val="18"/>
        </w:rPr>
        <w:t>Section 9 (2): it goes to the operator's principal place of business, or another address the operator has specified.</w:t>
      </w:r>
    </w:p>
    <w:p>
      <w:pPr>
        <w:pStyle w:val="ListBullet"/>
        <w:spacing w:after="40"/>
      </w:pPr>
      <w:r>
        <w:rPr>
          <w:sz w:val="18"/>
        </w:rPr>
        <w:t>Section 15: the operator keeps submitted daily inspection reports for at least six months.</w:t>
      </w:r>
    </w:p>
    <w:p>
      <w:pPr>
        <w:pStyle w:val="ListBullet"/>
        <w:spacing w:after="40"/>
      </w:pPr>
      <w:r>
        <w:rPr>
          <w:sz w:val="18"/>
        </w:rPr>
        <w:t>Section 16: the vehicle identification, maintenance and repair records run on a longer clock, at least two years, or six months after the vehicle stops being operated by the operator, whichever is shorter.</w:t>
      </w:r>
    </w:p>
    <w:p>
      <w:pPr>
        <w:keepNext/>
        <w:spacing w:before="240" w:after="80"/>
        <w:pBdr>
          <w:bottom w:val="single" w:sz="6" w:color="D7E0E4" w:space="2"/>
        </w:pBdr>
      </w:pPr>
      <w:r>
        <w:rPr>
          <w:b/>
          <w:color w:val="0D2B50"/>
          <w:sz w:val="23"/>
        </w:rPr>
        <w:t>Defect reference, Ontario Schedule 1</w:t>
      </w:r>
    </w:p>
    <w:p>
      <w:pPr>
        <w:pStyle w:val="ListNumber"/>
        <w:spacing w:after="40"/>
      </w:pPr>
      <w:r>
        <w:rPr>
          <w:sz w:val="18"/>
        </w:rPr>
        <w:t>Air brake system. Minor: audible air leak, or slow air pressure build-up rate. Major: pushrod stroke of any brake exceeds the adjustment limit, air loss rate exceeds the prescribed limit, tractor protection system inoperative, low air warning system fails or is activated, or any service, parking or emergency brake inoperative.</w:t>
      </w:r>
    </w:p>
    <w:p>
      <w:pPr>
        <w:pStyle w:val="ListNumber"/>
        <w:spacing w:after="40"/>
      </w:pPr>
      <w:r>
        <w:rPr>
          <w:sz w:val="18"/>
        </w:rPr>
        <w:t>Cab. Minor: occupant compartment door fails to open. Major: any cab or sleeper door fails to close securely.</w:t>
      </w:r>
    </w:p>
    <w:p>
      <w:pPr>
        <w:pStyle w:val="ListNumber"/>
        <w:spacing w:after="40"/>
      </w:pPr>
      <w:r>
        <w:rPr>
          <w:sz w:val="18"/>
        </w:rPr>
        <w:t>Cargo securement. Minor: insecure or improper load covering. Major: insecure cargo, or a required cargo securement device or load covering that is absent, failed, malfunctioning or deteriorated.</w:t>
      </w:r>
    </w:p>
    <w:p>
      <w:pPr>
        <w:pStyle w:val="ListNumber"/>
        <w:spacing w:after="40"/>
      </w:pPr>
      <w:r>
        <w:rPr>
          <w:sz w:val="18"/>
        </w:rPr>
        <w:t>Coupling devices. Minor: coupler or mounting has a loose or missing fastener. Major: coupler insecure or movement exceeds the prescribed limit, coupling or locking mechanism damaged or fails to lock, or a defective, incorrect or missing safety chain or cable.</w:t>
      </w:r>
    </w:p>
    <w:p>
      <w:pPr>
        <w:pStyle w:val="ListNumber"/>
        <w:spacing w:after="40"/>
      </w:pPr>
      <w:r>
        <w:rPr>
          <w:sz w:val="18"/>
        </w:rPr>
        <w:t>Dangerous goods. No minor defect listed. Major: dangerous goods requirements not met.</w:t>
      </w:r>
    </w:p>
    <w:p>
      <w:pPr>
        <w:pStyle w:val="ListNumber"/>
        <w:spacing w:after="40"/>
      </w:pPr>
      <w:r>
        <w:rPr>
          <w:sz w:val="18"/>
        </w:rPr>
        <w:t>Driver controls. Minor: accelerator pedal, clutch, gauges, audible or visual indicators, or instruments fail to function properly. No major defect listed.</w:t>
      </w:r>
    </w:p>
    <w:p>
      <w:pPr>
        <w:pStyle w:val="ListNumber"/>
        <w:spacing w:after="40"/>
      </w:pPr>
      <w:r>
        <w:rPr>
          <w:sz w:val="18"/>
        </w:rPr>
        <w:t>Driver seat. Minor: seat damaged or fails to remain in the set position. Major: seatbelt or tether belt insecure, missing or malfunctioning.</w:t>
      </w:r>
    </w:p>
    <w:p>
      <w:pPr>
        <w:pStyle w:val="ListNumber"/>
        <w:spacing w:after="40"/>
      </w:pPr>
      <w:r>
        <w:rPr>
          <w:sz w:val="18"/>
        </w:rPr>
        <w:t>Electric brake system. Minor: loose or insecure wiring or electrical connection. Major: breakaway device inoperative, or a brake inoperative.</w:t>
      </w:r>
    </w:p>
    <w:p>
      <w:pPr>
        <w:pStyle w:val="ListNumber"/>
        <w:spacing w:after="40"/>
      </w:pPr>
      <w:r>
        <w:rPr>
          <w:sz w:val="18"/>
        </w:rPr>
        <w:t>Emergency equipment and safety devices. Minor: emergency equipment missing, damaged or defective. No major defect listed.</w:t>
      </w:r>
    </w:p>
    <w:p>
      <w:pPr>
        <w:pStyle w:val="ListNumber"/>
        <w:spacing w:after="40"/>
      </w:pPr>
      <w:r>
        <w:rPr>
          <w:sz w:val="18"/>
        </w:rPr>
        <w:t>Exhaust system. Minor: exhaust leak, except where it is the major defect below. Major: a leak that causes exhaust gas to enter the occupant compartment.</w:t>
      </w:r>
    </w:p>
    <w:p>
      <w:pPr>
        <w:pStyle w:val="ListNumber"/>
        <w:spacing w:after="40"/>
      </w:pPr>
      <w:r>
        <w:rPr>
          <w:sz w:val="18"/>
        </w:rPr>
        <w:t>Frame and cargo body. Minor: damaged frame or cargo body. Major: a frame member visibly shifted, cracked, collapsing or sagging.</w:t>
      </w:r>
    </w:p>
    <w:p>
      <w:pPr>
        <w:pStyle w:val="ListNumber"/>
        <w:spacing w:after="40"/>
      </w:pPr>
      <w:r>
        <w:rPr>
          <w:sz w:val="18"/>
        </w:rPr>
        <w:t>Fuel system. Minor: missing fuel tank cap. Major: insecure fuel tank, or a dripping fuel leak. Note that the last two are major, not minor.</w:t>
      </w:r>
    </w:p>
    <w:p>
      <w:pPr>
        <w:pStyle w:val="ListNumber"/>
        <w:spacing w:after="40"/>
      </w:pPr>
      <w:r>
        <w:rPr>
          <w:sz w:val="18"/>
        </w:rPr>
        <w:t>General. No minor defect listed. Major: serious damage or deterioration that is noticeable and may affect the vehicle's safe operation.</w:t>
      </w:r>
    </w:p>
    <w:p>
      <w:pPr>
        <w:pStyle w:val="ListNumber"/>
        <w:spacing w:after="40"/>
      </w:pPr>
      <w:r>
        <w:rPr>
          <w:sz w:val="18"/>
        </w:rPr>
        <w:t>Glass and mirrors. Minor: a required mirror or window glass that fails to give the driver the required view because it is cracked, broken, damaged, missing or maladjusted, or a required mirror or glass with broken or damaged attachments onto the vehicle body. No major defect listed.</w:t>
      </w:r>
    </w:p>
    <w:p>
      <w:pPr>
        <w:pStyle w:val="ListNumber"/>
        <w:spacing w:after="40"/>
      </w:pPr>
      <w:r>
        <w:rPr>
          <w:sz w:val="18"/>
        </w:rPr>
        <w:t>Heater and defroster. Minor: control or system failure. Major: defroster fails to provide an unobstructed view through the windshield.</w:t>
      </w:r>
    </w:p>
    <w:p>
      <w:pPr>
        <w:pStyle w:val="ListNumber"/>
        <w:spacing w:after="40"/>
      </w:pPr>
      <w:r>
        <w:rPr>
          <w:sz w:val="18"/>
        </w:rPr>
        <w:t>Horn. Minor: vehicle has no operative horn. No major defect listed.</w:t>
      </w:r>
    </w:p>
    <w:p>
      <w:pPr>
        <w:pStyle w:val="ListNumber"/>
        <w:spacing w:after="40"/>
      </w:pPr>
      <w:r>
        <w:rPr>
          <w:sz w:val="18"/>
        </w:rPr>
        <w:t>Hydraulic brake system. Minor: brake fluid level below the indicated minimum. Major: brake boost or power assist not operative, a brake fluid leak, brake pedal fade or insufficient pedal reserve, a warning device activated other than ABS, fluid reservoir less than one quarter full, or parking brake inoperative.</w:t>
      </w:r>
    </w:p>
    <w:p>
      <w:pPr>
        <w:pStyle w:val="ListNumber"/>
        <w:spacing w:after="40"/>
      </w:pPr>
      <w:r>
        <w:rPr>
          <w:sz w:val="18"/>
        </w:rPr>
        <w:t>Lamps and reflectors. Minor: a required lamp does not function as intended, or a required reflector missing or partially missing. Major, when use of lamps is required: both low beam headlamps fail, or both rearmost tail lamps fail. Major at all times: a rearmost turn indicator lamp fails, or both rearmost brake lamps fail.</w:t>
      </w:r>
    </w:p>
    <w:p>
      <w:pPr>
        <w:pStyle w:val="ListNumber"/>
        <w:spacing w:after="40"/>
      </w:pPr>
      <w:r>
        <w:rPr>
          <w:sz w:val="18"/>
        </w:rPr>
        <w:t>Steering. Minor: steering wheel lash (free play) greater than normal. Major: steering wheel insecure or not responding normally, or lash beyond the prescribed limit.</w:t>
      </w:r>
    </w:p>
    <w:p>
      <w:pPr>
        <w:pStyle w:val="ListNumber"/>
        <w:spacing w:after="40"/>
      </w:pPr>
      <w:r>
        <w:rPr>
          <w:sz w:val="18"/>
        </w:rPr>
        <w:t>Suspension system. Minor: air leak in the air suspension system, a broken spring leaf, or a loose, missing or broken suspension fastener. Major: an air bag patched, cut, bruised, cracked to braid, deflated or insecurely mounted, a cracked or broken main spring leaf or more than one broken spring leaf in any spring assembly, part of a spring leaf or suspension missing, shifted out of place or contacting another vehicle component, or a loose U bolt.</w:t>
      </w:r>
    </w:p>
    <w:p>
      <w:pPr>
        <w:pStyle w:val="ListNumber"/>
        <w:spacing w:after="40"/>
      </w:pPr>
      <w:r>
        <w:rPr>
          <w:sz w:val="18"/>
        </w:rPr>
        <w:t>Tires. Minor: damaged tread or sidewall, or a tire leaking where the leak cannot be heard. Major: a flat tire, a tire leaking where the leak can be felt or heard, tread depth below the wear limit, a tire contacting another tire or any vehicle component other than a mud flap, a tire marked not for highway use, or exposed cords in the tread or outer sidewall area.</w:t>
      </w:r>
    </w:p>
    <w:p>
      <w:pPr>
        <w:pStyle w:val="ListNumber"/>
        <w:spacing w:after="40"/>
      </w:pPr>
      <w:r>
        <w:rPr>
          <w:sz w:val="18"/>
        </w:rPr>
        <w:t>Wheels, hubs and fasteners. Minor: hub oil below the minimum level where a sight glass is fitted, or a leaking wheel seal. Major: a loose, missing or ineffective wheel fastener, a damaged, cracked or broken wheel, rim or attaching part, or evidence of imminent wheel, hub or bearing failure. The leaking wheel seal is the one that differs from the national schedule, where it is major.</w:t>
      </w:r>
    </w:p>
    <w:p>
      <w:pPr>
        <w:pStyle w:val="ListNumber"/>
        <w:spacing w:after="40"/>
      </w:pPr>
      <w:r>
        <w:rPr>
          <w:sz w:val="18"/>
        </w:rPr>
        <w:t>Windshield wiper and washer. Minor: control or system malfunction, or a wiper blade damaged, missing or failing to adequately clear the driver's field of vision. Major, when use of wipers or washer is required: wiper or washer fails to adequately clear the driver's field of vision in the area swept by the driver's side wiper.</w:t>
      </w:r>
    </w:p>
    <w:sectPr w:rsidR="00FC693F" w:rsidRPr="0006063C" w:rsidSect="00034616">
      <w:footerReference w:type="default" r:id="rId9"/>
      <w:pgSz w:w="12240" w:h="15840"/>
      <w:pgMar w:top="792" w:right="792" w:bottom="864"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
      <w:rPr>
        <w:color w:val="475569"/>
        <w:sz w:val="15"/>
      </w:rPr>
      <w:t>Cor Pathway 360, corpathway.com, free to use and modify.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