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23B6D"/>
          <w:sz w:val="16"/>
        </w:rPr>
        <w:t>COR PATHWAY 360</w:t>
      </w:r>
    </w:p>
    <w:p>
      <w:pPr>
        <w:spacing w:after="40"/>
      </w:pPr>
      <w:r>
        <w:rPr>
          <w:b/>
          <w:color w:val="0D2B50"/>
          <w:sz w:val="36"/>
        </w:rPr>
        <w:t>Corrective Action Tracker</w:t>
      </w:r>
    </w:p>
    <w:p>
      <w:pPr>
        <w:spacing w:after="160"/>
      </w:pPr>
      <w:r>
        <w:rPr>
          <w:color w:val="475569"/>
          <w:sz w:val="20"/>
        </w:rPr>
        <w:t>Every open action in one place, from every source</w:t>
      </w:r>
    </w:p>
    <w:p>
      <w:pPr>
        <w:spacing w:after="80"/>
      </w:pPr>
      <w:r>
        <w:rPr>
          <w:sz w:val="18"/>
        </w:rPr>
        <w:t>This is the document that most often decides whether an audit goes well. Finding a hazard is the easy half. Auditors ask what you did about it, who did it, when, and how you know it worked.</w:t>
      </w:r>
    </w:p>
    <w:p>
      <w:pPr>
        <w:spacing w:after="80"/>
      </w:pPr>
      <w:r>
        <w:rPr>
          <w:sz w:val="18"/>
        </w:rPr>
        <w:t>Keep one register rather than one per source. An action from a worker concern is tracked the same way as an action from a formal audit.</w:t>
      </w:r>
    </w:p>
    <w:p>
      <w:pPr>
        <w:spacing w:after="200"/>
        <w:ind w:left="173"/>
      </w:pPr>
      <w:r>
        <w:rPr>
          <w:b/>
          <w:color w:val="9A3412"/>
          <w:sz w:val="18"/>
        </w:rPr>
        <w:t xml:space="preserve">Check this yourself. </w:t>
      </w:r>
      <w:r>
        <w:rPr>
          <w:color w:val="475569"/>
          <w:sz w:val="18"/>
        </w:rPr>
        <w:t>An action is not closed when the work is done. It is closed when somebody other than the person who did the work has confirmed the hazard is actually controlled, and has dated that confirmation.</w:t>
      </w:r>
    </w:p>
    <w:p>
      <w:pPr>
        <w:keepNext/>
        <w:spacing w:before="240" w:after="80"/>
        <w:pBdr>
          <w:bottom w:val="single" w:sz="6" w:color="D7E0E4" w:space="2"/>
        </w:pBdr>
      </w:pPr>
      <w:r>
        <w:rPr>
          <w:b/>
          <w:color w:val="0D2B50"/>
          <w:sz w:val="23"/>
        </w:rPr>
        <w:t>How to use the columns</w:t>
      </w:r>
    </w:p>
    <w:p>
      <w:pPr>
        <w:pStyle w:val="ListBullet"/>
        <w:spacing w:after="40"/>
      </w:pPr>
      <w:r>
        <w:rPr>
          <w:sz w:val="18"/>
        </w:rPr>
        <w:t>Source: inspection, incident, near miss, audit finding, worker concern, committee meeting, drill, or regulator order. An auditor will look for actions arriving from more than one source.</w:t>
      </w:r>
    </w:p>
    <w:p>
      <w:pPr>
        <w:pStyle w:val="ListBullet"/>
        <w:spacing w:after="40"/>
      </w:pPr>
      <w:r>
        <w:rPr>
          <w:sz w:val="18"/>
        </w:rPr>
        <w:t>Priority: base it on the risk rating of the hazard, not on how easy the fix is.</w:t>
      </w:r>
    </w:p>
    <w:p>
      <w:pPr>
        <w:pStyle w:val="ListBullet"/>
        <w:spacing w:after="40"/>
      </w:pPr>
      <w:r>
        <w:rPr>
          <w:sz w:val="18"/>
        </w:rPr>
        <w:t>Due date: a real date. Ongoing is not a date, and an auditor reads it as never.</w:t>
      </w:r>
    </w:p>
    <w:p>
      <w:pPr>
        <w:pStyle w:val="ListBullet"/>
        <w:spacing w:after="40"/>
      </w:pPr>
      <w:r>
        <w:rPr>
          <w:sz w:val="18"/>
        </w:rPr>
        <w:t>Verified by: somebody other than the person who completed the work, wherever that is practical.</w:t>
      </w:r>
    </w:p>
    <w:p>
      <w:pPr>
        <w:pStyle w:val="ListBullet"/>
        <w:spacing w:after="40"/>
      </w:pPr>
      <w:r>
        <w:rPr>
          <w:sz w:val="18"/>
        </w:rPr>
        <w:t>Overdue items are not a failure to hide. An overdue item with a revised date and a reason shows a system that is being managed. A blank column shows one that is not.</w:t>
      </w:r>
    </w:p>
    <w:p>
      <w:pPr>
        <w:keepNext/>
        <w:spacing w:before="240" w:after="80"/>
        <w:pBdr>
          <w:bottom w:val="single" w:sz="6" w:color="D7E0E4" w:space="2"/>
        </w:pBdr>
      </w:pPr>
      <w:r>
        <w:rPr>
          <w:b/>
          <w:color w:val="0D2B50"/>
          <w:sz w:val="23"/>
        </w:rPr>
        <w:t>Register</w:t>
      </w:r>
    </w:p>
    <w:tbl>
      <w:tblPr>
        <w:tblStyle w:val="TableGrid"/>
        <w:tblW w:type="auto" w:w="0"/>
        <w:jc w:val="center"/>
        <w:tblLook w:firstColumn="1" w:firstRow="1" w:lastColumn="0" w:lastRow="0" w:noHBand="0" w:noVBand="1" w:val="04A0"/>
      </w:tblPr>
      <w:tblGrid>
        <w:gridCol w:w="969"/>
        <w:gridCol w:w="969"/>
        <w:gridCol w:w="969"/>
        <w:gridCol w:w="969"/>
        <w:gridCol w:w="969"/>
        <w:gridCol w:w="969"/>
        <w:gridCol w:w="969"/>
        <w:gridCol w:w="969"/>
        <w:gridCol w:w="969"/>
        <w:gridCol w:w="969"/>
        <w:gridCol w:w="969"/>
      </w:tblGrid>
      <w:tr>
        <w:trPr>
          <w:tblHeader w:val="true"/>
        </w:trPr>
        <w:tc>
          <w:tcPr>
            <w:tcW w:type="dxa" w:w="969"/>
            <w:shd w:val="clear" w:color="auto" w:fill="E8EEF4"/>
          </w:tcPr>
          <w:p>
            <w:r/>
            <w:r>
              <w:rPr>
                <w:b/>
                <w:color w:val="0D2B50"/>
                <w:sz w:val="15"/>
              </w:rPr>
              <w:t>ID</w:t>
            </w:r>
          </w:p>
        </w:tc>
        <w:tc>
          <w:tcPr>
            <w:tcW w:type="dxa" w:w="969"/>
            <w:shd w:val="clear" w:color="auto" w:fill="E8EEF4"/>
          </w:tcPr>
          <w:p>
            <w:r/>
            <w:r>
              <w:rPr>
                <w:b/>
                <w:color w:val="0D2B50"/>
                <w:sz w:val="15"/>
              </w:rPr>
              <w:t>Date raised</w:t>
            </w:r>
          </w:p>
        </w:tc>
        <w:tc>
          <w:tcPr>
            <w:tcW w:type="dxa" w:w="969"/>
            <w:shd w:val="clear" w:color="auto" w:fill="E8EEF4"/>
          </w:tcPr>
          <w:p>
            <w:r/>
            <w:r>
              <w:rPr>
                <w:b/>
                <w:color w:val="0D2B50"/>
                <w:sz w:val="15"/>
              </w:rPr>
              <w:t>Source</w:t>
            </w:r>
          </w:p>
        </w:tc>
        <w:tc>
          <w:tcPr>
            <w:tcW w:type="dxa" w:w="969"/>
            <w:shd w:val="clear" w:color="auto" w:fill="E8EEF4"/>
          </w:tcPr>
          <w:p>
            <w:r/>
            <w:r>
              <w:rPr>
                <w:b/>
                <w:color w:val="0D2B50"/>
                <w:sz w:val="15"/>
              </w:rPr>
              <w:t>Hazard or finding</w:t>
            </w:r>
          </w:p>
        </w:tc>
        <w:tc>
          <w:tcPr>
            <w:tcW w:type="dxa" w:w="969"/>
            <w:shd w:val="clear" w:color="auto" w:fill="E8EEF4"/>
          </w:tcPr>
          <w:p>
            <w:r/>
            <w:r>
              <w:rPr>
                <w:b/>
                <w:color w:val="0D2B50"/>
                <w:sz w:val="15"/>
              </w:rPr>
              <w:t>Action required</w:t>
            </w:r>
          </w:p>
        </w:tc>
        <w:tc>
          <w:tcPr>
            <w:tcW w:type="dxa" w:w="969"/>
            <w:shd w:val="clear" w:color="auto" w:fill="E8EEF4"/>
          </w:tcPr>
          <w:p>
            <w:r/>
            <w:r>
              <w:rPr>
                <w:b/>
                <w:color w:val="0D2B50"/>
                <w:sz w:val="15"/>
              </w:rPr>
              <w:t>Priority</w:t>
            </w:r>
          </w:p>
        </w:tc>
        <w:tc>
          <w:tcPr>
            <w:tcW w:type="dxa" w:w="969"/>
            <w:shd w:val="clear" w:color="auto" w:fill="E8EEF4"/>
          </w:tcPr>
          <w:p>
            <w:r/>
            <w:r>
              <w:rPr>
                <w:b/>
                <w:color w:val="0D2B50"/>
                <w:sz w:val="15"/>
              </w:rPr>
              <w:t>Assigned to</w:t>
            </w:r>
          </w:p>
        </w:tc>
        <w:tc>
          <w:tcPr>
            <w:tcW w:type="dxa" w:w="969"/>
            <w:shd w:val="clear" w:color="auto" w:fill="E8EEF4"/>
          </w:tcPr>
          <w:p>
            <w:r/>
            <w:r>
              <w:rPr>
                <w:b/>
                <w:color w:val="0D2B50"/>
                <w:sz w:val="15"/>
              </w:rPr>
              <w:t>Due date</w:t>
            </w:r>
          </w:p>
        </w:tc>
        <w:tc>
          <w:tcPr>
            <w:tcW w:type="dxa" w:w="969"/>
            <w:shd w:val="clear" w:color="auto" w:fill="E8EEF4"/>
          </w:tcPr>
          <w:p>
            <w:r/>
            <w:r>
              <w:rPr>
                <w:b/>
                <w:color w:val="0D2B50"/>
                <w:sz w:val="15"/>
              </w:rPr>
              <w:t>Date completed</w:t>
            </w:r>
          </w:p>
        </w:tc>
        <w:tc>
          <w:tcPr>
            <w:tcW w:type="dxa" w:w="969"/>
            <w:shd w:val="clear" w:color="auto" w:fill="E8EEF4"/>
          </w:tcPr>
          <w:p>
            <w:r/>
            <w:r>
              <w:rPr>
                <w:b/>
                <w:color w:val="0D2B50"/>
                <w:sz w:val="15"/>
              </w:rPr>
              <w:t>Verified by</w:t>
            </w:r>
          </w:p>
        </w:tc>
        <w:tc>
          <w:tcPr>
            <w:tcW w:type="dxa" w:w="969"/>
            <w:shd w:val="clear" w:color="auto" w:fill="E8EEF4"/>
          </w:tcPr>
          <w:p>
            <w:r/>
            <w:r>
              <w:rPr>
                <w:b/>
                <w:color w:val="0D2B50"/>
                <w:sz w:val="15"/>
              </w:rPr>
              <w:t>Date verified</w:t>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r>
        <w:trPr>
          <w:trHeight w:val="360" w:hRule="atLeast"/>
        </w:trPr>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c>
          <w:tcPr>
            <w:tcW w:type="dxa" w:w="969"/>
          </w:tcPr>
          <w:p>
            <w:r>
              <w:rPr>
                <w:sz w:val="16"/>
              </w:rPr>
            </w:r>
          </w:p>
        </w:tc>
      </w:tr>
    </w:tbl>
    <w:p>
      <w:pPr>
        <w:keepNext/>
        <w:spacing w:before="240" w:after="80"/>
        <w:pBdr>
          <w:bottom w:val="single" w:sz="6" w:color="D7E0E4" w:space="2"/>
        </w:pBdr>
      </w:pPr>
      <w:r>
        <w:rPr>
          <w:b/>
          <w:color w:val="0D2B50"/>
          <w:sz w:val="23"/>
        </w:rPr>
        <w:t>Monthly review</w:t>
      </w:r>
    </w:p>
    <w:tbl>
      <w:tblPr>
        <w:tblStyle w:val="TableGrid"/>
        <w:tblW w:type="auto" w:w="0"/>
        <w:jc w:val="center"/>
        <w:tblLook w:firstColumn="1" w:firstRow="1" w:lastColumn="0" w:lastRow="0" w:noHBand="0" w:noVBand="1" w:val="04A0"/>
      </w:tblPr>
      <w:tblGrid>
        <w:gridCol w:w="1522"/>
        <w:gridCol w:w="1522"/>
        <w:gridCol w:w="1522"/>
        <w:gridCol w:w="1522"/>
        <w:gridCol w:w="1522"/>
        <w:gridCol w:w="1522"/>
        <w:gridCol w:w="1522"/>
      </w:tblGrid>
      <w:tr>
        <w:trPr>
          <w:tblHeader w:val="true"/>
        </w:trPr>
        <w:tc>
          <w:tcPr>
            <w:tcW w:type="dxa" w:w="1522"/>
            <w:shd w:val="clear" w:color="auto" w:fill="E8EEF4"/>
          </w:tcPr>
          <w:p>
            <w:r/>
            <w:r>
              <w:rPr>
                <w:b/>
                <w:color w:val="0D2B50"/>
                <w:sz w:val="17"/>
              </w:rPr>
              <w:t>Month</w:t>
            </w:r>
          </w:p>
        </w:tc>
        <w:tc>
          <w:tcPr>
            <w:tcW w:type="dxa" w:w="1522"/>
            <w:shd w:val="clear" w:color="auto" w:fill="E8EEF4"/>
          </w:tcPr>
          <w:p>
            <w:r/>
            <w:r>
              <w:rPr>
                <w:b/>
                <w:color w:val="0D2B50"/>
                <w:sz w:val="17"/>
              </w:rPr>
              <w:t>Open at start</w:t>
            </w:r>
          </w:p>
        </w:tc>
        <w:tc>
          <w:tcPr>
            <w:tcW w:type="dxa" w:w="1522"/>
            <w:shd w:val="clear" w:color="auto" w:fill="E8EEF4"/>
          </w:tcPr>
          <w:p>
            <w:r/>
            <w:r>
              <w:rPr>
                <w:b/>
                <w:color w:val="0D2B50"/>
                <w:sz w:val="17"/>
              </w:rPr>
              <w:t>Raised</w:t>
            </w:r>
          </w:p>
        </w:tc>
        <w:tc>
          <w:tcPr>
            <w:tcW w:type="dxa" w:w="1522"/>
            <w:shd w:val="clear" w:color="auto" w:fill="E8EEF4"/>
          </w:tcPr>
          <w:p>
            <w:r/>
            <w:r>
              <w:rPr>
                <w:b/>
                <w:color w:val="0D2B50"/>
                <w:sz w:val="17"/>
              </w:rPr>
              <w:t>Closed</w:t>
            </w:r>
          </w:p>
        </w:tc>
        <w:tc>
          <w:tcPr>
            <w:tcW w:type="dxa" w:w="1522"/>
            <w:shd w:val="clear" w:color="auto" w:fill="E8EEF4"/>
          </w:tcPr>
          <w:p>
            <w:r/>
            <w:r>
              <w:rPr>
                <w:b/>
                <w:color w:val="0D2B50"/>
                <w:sz w:val="17"/>
              </w:rPr>
              <w:t>Open at end</w:t>
            </w:r>
          </w:p>
        </w:tc>
        <w:tc>
          <w:tcPr>
            <w:tcW w:type="dxa" w:w="1522"/>
            <w:shd w:val="clear" w:color="auto" w:fill="E8EEF4"/>
          </w:tcPr>
          <w:p>
            <w:r/>
            <w:r>
              <w:rPr>
                <w:b/>
                <w:color w:val="0D2B50"/>
                <w:sz w:val="17"/>
              </w:rPr>
              <w:t>Overdue</w:t>
            </w:r>
          </w:p>
        </w:tc>
        <w:tc>
          <w:tcPr>
            <w:tcW w:type="dxa" w:w="1522"/>
            <w:shd w:val="clear" w:color="auto" w:fill="E8EEF4"/>
          </w:tcPr>
          <w:p>
            <w:r/>
            <w:r>
              <w:rPr>
                <w:b/>
                <w:color w:val="0D2B50"/>
                <w:sz w:val="17"/>
              </w:rPr>
              <w:t>Reviewed by</w:t>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r>
        <w:trPr>
          <w:trHeight w:val="360" w:hRule="atLeast"/>
        </w:trPr>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c>
          <w:tcPr>
            <w:tcW w:type="dxa" w:w="1522"/>
          </w:tcPr>
          <w:p>
            <w:r>
              <w:rPr>
                <w:sz w:val="18"/>
              </w:rPr>
            </w:r>
          </w:p>
        </w:tc>
      </w:tr>
    </w:tbl>
    <w:p>
      <w:pPr>
        <w:keepNext/>
        <w:spacing w:before="240" w:after="80"/>
        <w:pBdr>
          <w:bottom w:val="single" w:sz="6" w:color="D7E0E4" w:space="2"/>
        </w:pBdr>
      </w:pPr>
      <w:r>
        <w:rPr>
          <w:b/>
          <w:color w:val="0D2B50"/>
          <w:sz w:val="23"/>
        </w:rPr>
        <w:t>Notes on overdue or revised items</w:t>
      </w:r>
    </w:p>
    <w:p>
      <w:r>
        <w:rPr>
          <w:color w:val="475569"/>
          <w:sz w:val="17"/>
        </w:rPr>
        <w:t>Record why an item slipped and what the revised date is. This is evidence of management, not evidence of failure.</w:t>
      </w:r>
    </w:p>
    <w:tbl>
      <w:tblPr>
        <w:tblStyle w:val="TableGrid"/>
        <w:tblW w:type="auto" w:w="0"/>
        <w:tblLook w:firstColumn="1" w:firstRow="1" w:lastColumn="0" w:lastRow="0" w:noHBand="0" w:noVBand="1" w:val="04A0"/>
      </w:tblPr>
      <w:tblGrid>
        <w:gridCol w:w="10656"/>
      </w:tblGrid>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r>
        <w:trPr>
          <w:trHeight w:val="400" w:hRule="atLeast"/>
        </w:trPr>
        <w:tc>
          <w:tcPr>
            <w:tcW w:type="dxa" w:w="10656"/>
          </w:tcPr>
          <w:p>
            <w:r>
              <w:rPr>
                <w:sz w:val="18"/>
              </w:rPr>
            </w:r>
          </w:p>
        </w:tc>
      </w:tr>
    </w:tbl>
    <w:sectPr w:rsidR="00FC693F" w:rsidRPr="0006063C" w:rsidSect="00034616">
      <w:footerReference w:type="default" r:id="rId9"/>
      <w:pgSz w:w="12240" w:h="15840"/>
      <w:pgMar w:top="792" w:right="792" w:bottom="864"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475569"/>
        <w:sz w:val="15"/>
      </w:rPr>
      <w:t>Cor Pathway 360, corpathway360.com, free to use and modify.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